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3" w:type="dxa"/>
        <w:tblLook w:val="04A0" w:firstRow="1" w:lastRow="0" w:firstColumn="1" w:lastColumn="0" w:noHBand="0" w:noVBand="1"/>
      </w:tblPr>
      <w:tblGrid>
        <w:gridCol w:w="4644"/>
        <w:gridCol w:w="426"/>
        <w:gridCol w:w="4253"/>
      </w:tblGrid>
      <w:tr w:rsidR="00DB3CE3" w:rsidRPr="00302969" w:rsidTr="00CE073A">
        <w:tc>
          <w:tcPr>
            <w:tcW w:w="4644" w:type="dxa"/>
          </w:tcPr>
          <w:p w:rsidR="00DB3CE3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РАССМОТРЕНО </w:t>
            </w:r>
          </w:p>
          <w:p w:rsidR="00DB3CE3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Педагогическом Совете </w:t>
            </w:r>
          </w:p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учетом мнения Общешкольного родительского Комитета и Совета лицеистов</w:t>
            </w:r>
          </w:p>
        </w:tc>
        <w:tc>
          <w:tcPr>
            <w:tcW w:w="426" w:type="dxa"/>
          </w:tcPr>
          <w:p w:rsidR="00DB3CE3" w:rsidRPr="00302969" w:rsidRDefault="00DB3CE3" w:rsidP="00CE073A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  <w:hideMark/>
          </w:tcPr>
          <w:p w:rsidR="00DB3CE3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02969">
              <w:rPr>
                <w:rFonts w:ascii="Arial" w:hAnsi="Arial" w:cs="Arial"/>
              </w:rPr>
              <w:t>УТВЕРЖДЕНО</w:t>
            </w:r>
          </w:p>
          <w:p w:rsidR="00DB3CE3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бюджетного общеобразовательного учреждения «Лицей № 10»</w:t>
            </w:r>
          </w:p>
          <w:p w:rsidR="00DB3CE3" w:rsidRPr="00302969" w:rsidRDefault="00DB3CE3" w:rsidP="004A0BA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 № _</w:t>
            </w:r>
            <w:r w:rsidR="004A0BA1">
              <w:rPr>
                <w:rFonts w:ascii="Arial" w:hAnsi="Arial" w:cs="Arial"/>
              </w:rPr>
              <w:t>01-07-71/7п</w:t>
            </w:r>
          </w:p>
        </w:tc>
      </w:tr>
      <w:tr w:rsidR="00DB3CE3" w:rsidRPr="004A0BA1" w:rsidTr="00CE073A">
        <w:tc>
          <w:tcPr>
            <w:tcW w:w="4644" w:type="dxa"/>
          </w:tcPr>
          <w:p w:rsidR="00DB3CE3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B3CE3" w:rsidRPr="00302969" w:rsidRDefault="00DB3CE3" w:rsidP="004A0BA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_</w:t>
            </w:r>
            <w:r w:rsidR="004A0BA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_ от_</w:t>
            </w:r>
            <w:r w:rsidR="004A0BA1">
              <w:rPr>
                <w:rFonts w:ascii="Arial" w:hAnsi="Arial" w:cs="Arial"/>
              </w:rPr>
              <w:t>25.02.</w:t>
            </w:r>
            <w:r>
              <w:rPr>
                <w:rFonts w:ascii="Arial" w:hAnsi="Arial" w:cs="Arial"/>
              </w:rPr>
              <w:t>20</w:t>
            </w:r>
            <w:r w:rsidR="004A0BA1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426" w:type="dxa"/>
          </w:tcPr>
          <w:p w:rsidR="00DB3CE3" w:rsidRPr="00302969" w:rsidRDefault="00DB3CE3" w:rsidP="00CE073A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«__</w:t>
            </w:r>
            <w:r w:rsidR="004A0BA1">
              <w:rPr>
                <w:rFonts w:ascii="Arial" w:hAnsi="Arial" w:cs="Arial"/>
              </w:rPr>
              <w:t>25__» _02_</w:t>
            </w:r>
            <w:r w:rsidRPr="00302969">
              <w:rPr>
                <w:rFonts w:ascii="Arial" w:hAnsi="Arial" w:cs="Arial"/>
              </w:rPr>
              <w:t>20</w:t>
            </w:r>
            <w:r w:rsidR="004A0BA1">
              <w:rPr>
                <w:rFonts w:ascii="Arial" w:hAnsi="Arial" w:cs="Arial"/>
              </w:rPr>
              <w:t>25</w:t>
            </w:r>
            <w:r w:rsidRPr="00302969">
              <w:rPr>
                <w:rFonts w:ascii="Arial" w:hAnsi="Arial" w:cs="Arial"/>
              </w:rPr>
              <w:t>__ г.</w:t>
            </w:r>
          </w:p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______</w:t>
            </w:r>
            <w:r w:rsidRPr="00302969">
              <w:rPr>
                <w:rFonts w:ascii="Arial" w:hAnsi="Arial" w:cs="Arial"/>
              </w:rPr>
              <w:t>Е. Н. Пономарева</w:t>
            </w:r>
          </w:p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B3CE3" w:rsidRPr="00302969" w:rsidRDefault="00DB3CE3" w:rsidP="00CE073A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4A0BA1" w:rsidRDefault="004A0BA1" w:rsidP="004A0BA1">
      <w:pPr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bookmarkStart w:id="0" w:name="_GoBack"/>
      <w:r w:rsidRPr="00BD4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125F3D6" wp14:editId="48081270">
            <wp:simplePos x="0" y="0"/>
            <wp:positionH relativeFrom="margin">
              <wp:posOffset>1638300</wp:posOffset>
            </wp:positionH>
            <wp:positionV relativeFrom="paragraph">
              <wp:posOffset>380365</wp:posOffset>
            </wp:positionV>
            <wp:extent cx="2771775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526" y="21409"/>
                <wp:lineTo x="21526" y="0"/>
                <wp:lineTo x="0" y="0"/>
              </wp:wrapPolygon>
            </wp:wrapThrough>
            <wp:docPr id="4" name="Рисунок 4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A0BA1" w:rsidRDefault="004A0BA1" w:rsidP="00DB3CE3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A0BA1" w:rsidRDefault="004A0BA1" w:rsidP="00DB3CE3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A0BA1" w:rsidRDefault="004A0BA1" w:rsidP="004A0BA1">
      <w:pPr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D753B4" w:rsidRPr="00DB3CE3" w:rsidRDefault="00CA3B88" w:rsidP="00DB3CE3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t>Положение</w:t>
      </w: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  <w:t>о формах, периодичности и порядке текущего контроля успеваемости</w:t>
      </w: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  <w:t>и промежуточной аттестации обучающихся</w:t>
      </w: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</w:r>
    </w:p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753B4" w:rsidRPr="00DB3CE3" w:rsidRDefault="00CA3B88" w:rsidP="00DB3CE3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t>1. Общие положения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МБОУ </w:t>
      </w:r>
      <w:r w:rsid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Лицея № 10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 (далее – 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 МБОУ </w:t>
      </w:r>
      <w:proofErr w:type="gramStart"/>
      <w:r w:rsidR="00DB3CE3">
        <w:rPr>
          <w:rFonts w:ascii="Arial" w:eastAsia="Times New Roman" w:hAnsi="Arial" w:cs="Arial"/>
          <w:sz w:val="24"/>
          <w:szCs w:val="24"/>
          <w:lang w:val="ru-RU" w:eastAsia="ru-RU"/>
        </w:rPr>
        <w:t>Лицей  (</w:t>
      </w:r>
      <w:proofErr w:type="gramEnd"/>
      <w:r w:rsidR="00DB3CE3">
        <w:rPr>
          <w:rFonts w:ascii="Arial" w:eastAsia="Times New Roman" w:hAnsi="Arial" w:cs="Arial"/>
          <w:sz w:val="24"/>
          <w:szCs w:val="24"/>
          <w:lang w:val="ru-RU" w:eastAsia="ru-RU"/>
        </w:rPr>
        <w:t>далее – Лицей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) для прохождения промежуточной и (или) государственной итоговой аттестации.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1.4. Положение является частью регулирования процедур внутренней оценки достижения планируемых результатов освоения ООП НОО, ООО, СОО,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="00DB3CE3">
        <w:rPr>
          <w:rFonts w:ascii="Arial" w:eastAsia="Times New Roman" w:hAnsi="Arial" w:cs="Arial"/>
          <w:sz w:val="24"/>
          <w:szCs w:val="24"/>
          <w:lang w:val="ru-RU" w:eastAsia="ru-RU"/>
        </w:rPr>
        <w:t>5. Для обучающихся с ОВЗ в лицее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D753B4" w:rsidRPr="00DB3CE3" w:rsidRDefault="00CA3B88" w:rsidP="00DB3CE3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t>2. Стартовая диагностика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сформированность</w:t>
      </w:r>
      <w:proofErr w:type="spell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предпосылок к учебной деятельности, готовность к овладению чтением, грамотой и счетом.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2.3. Стартовая диагностика в начале 5-го и 10-го классов позволяет определить у обучающихся структуру мотивации, </w:t>
      </w:r>
      <w:proofErr w:type="spell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сформированность</w:t>
      </w:r>
      <w:proofErr w:type="spell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2.6. Мероприятия стартовой диагностики включаются в единый график оценочных процедур школы.</w:t>
      </w:r>
    </w:p>
    <w:p w:rsidR="00D753B4" w:rsidRPr="00DB3CE3" w:rsidRDefault="00CA3B88" w:rsidP="00DB3CE3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b/>
          <w:sz w:val="24"/>
          <w:szCs w:val="24"/>
          <w:lang w:val="ru-RU" w:eastAsia="ru-RU"/>
        </w:rPr>
        <w:t>3. Текущий контроль успеваемости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3.1. 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достижений</w:t>
      </w:r>
      <w:proofErr w:type="gram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3.2. Текущий контроль успеваемости обучающихся осуществляется в целях:</w:t>
      </w:r>
    </w:p>
    <w:p w:rsidR="00D753B4" w:rsidRPr="00DB3CE3" w:rsidRDefault="00CA3B88" w:rsidP="00DB3CE3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753B4" w:rsidRPr="00DB3CE3" w:rsidRDefault="00CA3B88" w:rsidP="00DB3CE3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D753B4" w:rsidRPr="00DB3CE3" w:rsidRDefault="00CA3B88" w:rsidP="00DB3CE3">
      <w:pPr>
        <w:numPr>
          <w:ilvl w:val="0"/>
          <w:numId w:val="1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предупреждения неуспеваемости.</w:t>
      </w:r>
    </w:p>
    <w:p w:rsid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3.3. Текущий контроль успеваемости прово</w:t>
      </w:r>
      <w:r w:rsidR="00DB3CE3">
        <w:rPr>
          <w:rFonts w:ascii="Arial" w:eastAsia="Times New Roman" w:hAnsi="Arial" w:cs="Arial"/>
          <w:sz w:val="24"/>
          <w:szCs w:val="24"/>
          <w:lang w:val="ru-RU" w:eastAsia="ru-RU"/>
        </w:rPr>
        <w:t>дится для всех обучающихся лицея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за исключением лиц, осваивающих основную образовательную программу в форме самообразования или семейного образования 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D753B4" w:rsidRPr="00DB3CE3" w:rsidRDefault="00CA3B88" w:rsidP="00DB3CE3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письменной работы (тест, диктант, изложение, сочинение, реферат, эссе, контрольные, проверочные, самостоятельные, лабораторные и практические работы);</w:t>
      </w:r>
    </w:p>
    <w:p w:rsidR="00D753B4" w:rsidRPr="00DB3CE3" w:rsidRDefault="00CA3B88" w:rsidP="00DB3CE3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D753B4" w:rsidRPr="00DB3CE3" w:rsidRDefault="00CA3B88" w:rsidP="00DB3CE3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экспертной оценки индивидуального или группового проекта обучающихся;</w:t>
      </w:r>
    </w:p>
    <w:p w:rsidR="00D753B4" w:rsidRPr="00DB3CE3" w:rsidRDefault="00CA3B88" w:rsidP="00DB3CE3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иных формах, предусмотренных учебным планом (индивидуальным учебным планом);</w:t>
      </w:r>
    </w:p>
    <w:p w:rsidR="00D753B4" w:rsidRPr="00DB3CE3" w:rsidRDefault="00CA3B88" w:rsidP="00DB3CE3">
      <w:pPr>
        <w:numPr>
          <w:ilvl w:val="0"/>
          <w:numId w:val="2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мероприятий по оценке качества образования – национальных сопоставительных исследований, всероссийских проверочных работ, международных сопоставительных исследований.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3.6. Текущий контроль успеваемости обучающихся 1-го класса осуществляется без балльного</w:t>
      </w:r>
      <w:r w:rsid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оценивания занятий обучающихся.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3.7. Текущий контроль успеваемости в 2-ом и последующих классах осуществляется по пятибалльной системе оценивания.</w:t>
      </w:r>
    </w:p>
    <w:p w:rsidR="00365E36" w:rsidRDefault="00DB3CE3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3.8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 Отметки по установленным формам текущего контроля успеваемости обучающихся фиксируются педагогическим работником в электронном журнале успеваемости (электронном дневнике) в сроки и порядке, предусмотренные локальным нормативным актом школы. </w:t>
      </w:r>
    </w:p>
    <w:p w:rsidR="00D753B4" w:rsidRPr="00DB3CE3" w:rsidRDefault="00365E3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3.9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Текущий контроль успеваемости по итогам четверти (итоговая оценка) осуществляется педагогическим работником, реализующим соответствующую часть образовательной программы, в форме письменной работы (тест, диктант, изложение, сочинение, комплексная или итоговая контрольная работа).</w:t>
      </w:r>
    </w:p>
    <w:p w:rsidR="00D753B4" w:rsidRPr="00DB3CE3" w:rsidRDefault="00365E3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3.10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 w:rsidR="00D753B4" w:rsidRPr="00DB3CE3" w:rsidRDefault="00CA3B88" w:rsidP="00DB3CE3">
      <w:pPr>
        <w:numPr>
          <w:ilvl w:val="0"/>
          <w:numId w:val="3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по каждому учебному предмету в одной параллели классов чаще 1 раза в 2,5 недели. 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753B4" w:rsidRPr="00DB3CE3" w:rsidRDefault="00CA3B88" w:rsidP="00DB3CE3">
      <w:pPr>
        <w:numPr>
          <w:ilvl w:val="0"/>
          <w:numId w:val="3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753B4" w:rsidRPr="00DB3CE3" w:rsidRDefault="00CA3B88" w:rsidP="00DB3CE3">
      <w:pPr>
        <w:numPr>
          <w:ilvl w:val="0"/>
          <w:numId w:val="3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для обучающихся одного класса более одной оценочной процедуры в день.</w:t>
      </w:r>
    </w:p>
    <w:p w:rsidR="00D753B4" w:rsidRPr="00DB3CE3" w:rsidRDefault="00365E3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3.11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лицея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 Отметки по установленным формам текущего контроля успеваемости обучающихся фиксируются в журнале обучения на дому.</w:t>
      </w:r>
    </w:p>
    <w:p w:rsidR="00D753B4" w:rsidRPr="00DB3CE3" w:rsidRDefault="00365E3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3.12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окальным нормативным актом лицея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753B4" w:rsidRPr="00DB3CE3" w:rsidRDefault="00935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3.13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753B4" w:rsidRPr="00935B88" w:rsidRDefault="00CA3B88" w:rsidP="00935B88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935B88">
        <w:rPr>
          <w:rFonts w:ascii="Arial" w:eastAsia="Times New Roman" w:hAnsi="Arial" w:cs="Arial"/>
          <w:b/>
          <w:sz w:val="24"/>
          <w:szCs w:val="24"/>
          <w:lang w:val="ru-RU" w:eastAsia="ru-RU"/>
        </w:rPr>
        <w:t>4. Промежуточная аттестация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4.1.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4.2. Промежуточная аттестация обучающихся осуществляется в целях:</w:t>
      </w:r>
    </w:p>
    <w:p w:rsidR="00D753B4" w:rsidRPr="00DB3CE3" w:rsidRDefault="00CA3B88" w:rsidP="00DB3CE3">
      <w:pPr>
        <w:numPr>
          <w:ilvl w:val="0"/>
          <w:numId w:val="4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объективного установления фактического уровня освоения и достижения результатов освоения ООП;</w:t>
      </w:r>
    </w:p>
    <w:p w:rsidR="00D753B4" w:rsidRPr="00DB3CE3" w:rsidRDefault="00CA3B88" w:rsidP="00DB3CE3">
      <w:pPr>
        <w:numPr>
          <w:ilvl w:val="0"/>
          <w:numId w:val="4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D753B4" w:rsidRPr="00DB3CE3" w:rsidRDefault="00CA3B88" w:rsidP="00DB3CE3">
      <w:pPr>
        <w:numPr>
          <w:ilvl w:val="0"/>
          <w:numId w:val="4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оценки динамики индивидуальных образовательных достижений.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4.3. Промежуточная аттестация обучающихся 1-го класса проводится в виде учета текущих достижений учеников, носит </w:t>
      </w:r>
      <w:proofErr w:type="spell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безотметочный</w:t>
      </w:r>
      <w:proofErr w:type="spell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характер и фиксируется в документах мониторинга качества образования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школы.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5716E6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4.4. Промежуточная аттестация проводится по итогам учебного года по каждому учебному предмету, курсу, дисциплине (модулю), предусмотренных учебным планом.</w:t>
      </w:r>
      <w:r w:rsidR="00935B8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 предметам, по которым проводятся мероприятия по оценке качества образования (</w:t>
      </w:r>
      <w:proofErr w:type="gramStart"/>
      <w:r w:rsidR="00935B8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национальные </w:t>
      </w:r>
      <w:r w:rsidR="00935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сопоставительны</w:t>
      </w:r>
      <w:r w:rsidR="00935B88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proofErr w:type="gramEnd"/>
      <w:r w:rsidR="00935B8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исследования, всероссийские проверочные</w:t>
      </w:r>
      <w:r w:rsidR="00935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работ</w:t>
      </w:r>
      <w:r w:rsidR="00935B8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ы, международные сопоставительные исследования) промежуточная аттестация не проводится. </w:t>
      </w:r>
      <w:r w:rsidR="005716E6" w:rsidRPr="00DB3CE3">
        <w:rPr>
          <w:rFonts w:ascii="Arial" w:eastAsia="Times New Roman" w:hAnsi="Arial" w:cs="Arial"/>
          <w:sz w:val="24"/>
          <w:szCs w:val="24"/>
          <w:lang w:val="ru-RU" w:eastAsia="ru-RU"/>
        </w:rPr>
        <w:t>В качестве результатов промежуточной аттестации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используются </w:t>
      </w:r>
      <w:r w:rsidR="005716E6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результаты</w:t>
      </w:r>
      <w:proofErr w:type="gramEnd"/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этих </w:t>
      </w:r>
      <w:r w:rsidR="005716E6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мероприятий по оценке качества образования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753B4" w:rsidRPr="00DB3CE3" w:rsidRDefault="005716E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4.5. Результаты промежуточной аттестации обучающихся оцениваются по пятибалльной системе.</w:t>
      </w:r>
    </w:p>
    <w:p w:rsidR="005716E6" w:rsidRDefault="005716E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4.6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 Отметки за промежуточную аттестацию выставляются педагогическим работником, ее проводившим, </w:t>
      </w:r>
      <w:proofErr w:type="gramStart"/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в электронный журнале</w:t>
      </w:r>
      <w:proofErr w:type="gramEnd"/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успеваемости (электронный дневник обучающегося). </w:t>
      </w:r>
    </w:p>
    <w:p w:rsidR="00D753B4" w:rsidRPr="00DB3CE3" w:rsidRDefault="005716E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4.7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Педагогический работник, осуществляющий промежуточную аттестацию, обеспечивает повторное проведение промежуточной аттестации для отсутствовавших по уважительным причинам обучающихся.</w:t>
      </w:r>
    </w:p>
    <w:p w:rsidR="00D753B4" w:rsidRPr="00DB3CE3" w:rsidRDefault="005716E6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4.8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D753B4" w:rsidRPr="00DB3CE3" w:rsidRDefault="00CA3B88" w:rsidP="00DB3CE3">
      <w:pPr>
        <w:numPr>
          <w:ilvl w:val="0"/>
          <w:numId w:val="5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первый учебный день </w:t>
      </w:r>
      <w:proofErr w:type="gram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после ка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>никул</w:t>
      </w:r>
      <w:proofErr w:type="gramEnd"/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для всех обучающихся лицея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;</w:t>
      </w:r>
    </w:p>
    <w:p w:rsidR="00D753B4" w:rsidRPr="00DB3CE3" w:rsidRDefault="00CA3B88" w:rsidP="00DB3CE3">
      <w:pPr>
        <w:numPr>
          <w:ilvl w:val="0"/>
          <w:numId w:val="5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непосещавших</w:t>
      </w:r>
      <w:proofErr w:type="spell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занятия по уважительной причине;</w:t>
      </w:r>
    </w:p>
    <w:p w:rsidR="00D753B4" w:rsidRPr="00DB3CE3" w:rsidRDefault="00CA3B88" w:rsidP="00DB3CE3">
      <w:pPr>
        <w:numPr>
          <w:ilvl w:val="0"/>
          <w:numId w:val="5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753B4" w:rsidRPr="00DB3CE3" w:rsidRDefault="00CA3B88" w:rsidP="00DB3CE3">
      <w:pPr>
        <w:numPr>
          <w:ilvl w:val="0"/>
          <w:numId w:val="5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753B4" w:rsidRPr="00DB3CE3" w:rsidRDefault="00CA3B88" w:rsidP="00DB3CE3">
      <w:pPr>
        <w:numPr>
          <w:ilvl w:val="0"/>
          <w:numId w:val="5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для обучающихся одного класса более одной оценочной процедуры в день.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4.10. 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4.11. Промежуточная аттестация обучающихся,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подтверждаются справкой об обучении в медицинской организации и учитываются в порядке, предусмотренном законодательством РФ и л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>окальным нормативным актом лицея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непрохождение</w:t>
      </w:r>
      <w:proofErr w:type="spell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D753B4" w:rsidRPr="005716E6" w:rsidRDefault="00CA3B88" w:rsidP="005716E6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5716E6">
        <w:rPr>
          <w:rFonts w:ascii="Arial" w:eastAsia="Times New Roman" w:hAnsi="Arial" w:cs="Arial"/>
          <w:b/>
          <w:sz w:val="24"/>
          <w:szCs w:val="24"/>
          <w:lang w:val="ru-RU" w:eastAsia="ru-RU"/>
        </w:rPr>
        <w:t>5. Расчет отметок за четверть и год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5.1. Отметки за четверть по каждому учебному предмету, курсу, модулю определяются как среднее арифметическое отметок текущего контроля успеваемости и 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>выставляются всем обучающимся лицея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5.3. Годовые отметки по каждому учебному предмету, курсу, модулю определяются как среднее арифметическое четвертных отметок и отметки 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за промежуточную </w:t>
      </w:r>
      <w:proofErr w:type="gramStart"/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аттестацию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 и</w:t>
      </w:r>
      <w:proofErr w:type="gram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выс</w:t>
      </w:r>
      <w:r w:rsidR="005716E6">
        <w:rPr>
          <w:rFonts w:ascii="Arial" w:eastAsia="Times New Roman" w:hAnsi="Arial" w:cs="Arial"/>
          <w:sz w:val="24"/>
          <w:szCs w:val="24"/>
          <w:lang w:val="ru-RU" w:eastAsia="ru-RU"/>
        </w:rPr>
        <w:t>тавляются всем обучающимся лицея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, начиная с 2-го класса, в электронный журнал успеваемости целыми числами в соответствии с правилами математического округления.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5.4. </w:t>
      </w:r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основании </w:t>
      </w:r>
      <w:proofErr w:type="gramStart"/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>неудовлетворительной  годовой</w:t>
      </w:r>
      <w:proofErr w:type="gramEnd"/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отметки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 учебному предмету, курсу, модулю</w:t>
      </w:r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(академической задолженности)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 обучающиеся переводятся 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следующий класс</w:t>
      </w:r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условно. Ликвидация академической задолженности происходит в соответствии с </w:t>
      </w:r>
      <w:proofErr w:type="gramStart"/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>Положением  о</w:t>
      </w:r>
      <w:proofErr w:type="gramEnd"/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ликвидации академической задолженности лицея.  </w:t>
      </w:r>
    </w:p>
    <w:p w:rsidR="00D753B4" w:rsidRPr="00DB3CE3" w:rsidRDefault="00CA3B88" w:rsidP="005716E6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716E6">
        <w:rPr>
          <w:rFonts w:ascii="Arial" w:eastAsia="Times New Roman" w:hAnsi="Arial" w:cs="Arial"/>
          <w:b/>
          <w:sz w:val="24"/>
          <w:szCs w:val="24"/>
          <w:lang w:val="ru-RU" w:eastAsia="ru-RU"/>
        </w:rPr>
        <w:t>6. Промежуточная и государственная итоговая аттестация экстернов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6.1. Лица, осваивающие ООП соответствующего уровня общего образования в форме самообразования, семейного образования вправе пройти экстерном промежуточную и государстве</w:t>
      </w:r>
      <w:r w:rsidR="006C3509">
        <w:rPr>
          <w:rFonts w:ascii="Arial" w:eastAsia="Times New Roman" w:hAnsi="Arial" w:cs="Arial"/>
          <w:sz w:val="24"/>
          <w:szCs w:val="24"/>
          <w:lang w:val="ru-RU" w:eastAsia="ru-RU"/>
        </w:rPr>
        <w:t>нную итоговую аттестацию в лицее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D753B4" w:rsidRPr="00DB3CE3" w:rsidRDefault="00AF06AD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6.4. Срок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подачи заявления о прохождении про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межуточной аттестации экстерном- не позднее первого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/>
        </w:rPr>
        <w:t>апреля.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gramEnd"/>
    </w:p>
    <w:p w:rsidR="00D753B4" w:rsidRPr="00DB3CE3" w:rsidRDefault="00AF06AD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6.5. Лицей</w:t>
      </w:r>
      <w:r w:rsidR="00CA3B88"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6.6.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</w:t>
      </w:r>
      <w:r w:rsidR="00AF06AD">
        <w:rPr>
          <w:rFonts w:ascii="Arial" w:eastAsia="Times New Roman" w:hAnsi="Arial" w:cs="Arial"/>
          <w:sz w:val="24"/>
          <w:szCs w:val="24"/>
          <w:lang w:val="ru-RU" w:eastAsia="ru-RU"/>
        </w:rPr>
        <w:t>их образовательную деятельность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6.8. 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proofErr w:type="gram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приложению</w:t>
      </w:r>
      <w:proofErr w:type="gram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 настоящему Положению.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6.11. 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непрохождение</w:t>
      </w:r>
      <w:proofErr w:type="spell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6.12. Обучающиеся в форме семейного образования, не ликвидировавшие в установленные сроки академической задолженности, продолж</w:t>
      </w:r>
      <w:r w:rsidR="00AF06AD">
        <w:rPr>
          <w:rFonts w:ascii="Arial" w:eastAsia="Times New Roman" w:hAnsi="Arial" w:cs="Arial"/>
          <w:sz w:val="24"/>
          <w:szCs w:val="24"/>
          <w:lang w:val="ru-RU" w:eastAsia="ru-RU"/>
        </w:rPr>
        <w:t>ают получать образование в лицее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соответствии с законодательством РФ и лока</w:t>
      </w:r>
      <w:r w:rsidR="00AF06AD">
        <w:rPr>
          <w:rFonts w:ascii="Arial" w:eastAsia="Times New Roman" w:hAnsi="Arial" w:cs="Arial"/>
          <w:sz w:val="24"/>
          <w:szCs w:val="24"/>
          <w:lang w:val="ru-RU" w:eastAsia="ru-RU"/>
        </w:rPr>
        <w:t>льными нормативными актами лицея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D753B4" w:rsidRPr="00DB3CE3" w:rsidRDefault="00CA3B88" w:rsidP="00DB3CE3">
      <w:pPr>
        <w:numPr>
          <w:ilvl w:val="0"/>
          <w:numId w:val="6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 w:rsidR="00D753B4" w:rsidRPr="00DB3CE3" w:rsidRDefault="00CA3B88" w:rsidP="00DB3CE3">
      <w:pPr>
        <w:numPr>
          <w:ilvl w:val="0"/>
          <w:numId w:val="6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по ООП СОО – не менее чем за две недели до проведения итогового сочинения (изложения), но не позднее 1 февраля.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D753B4" w:rsidRPr="00AF06AD" w:rsidRDefault="00CA3B88" w:rsidP="00AF06AD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AF06AD">
        <w:rPr>
          <w:rFonts w:ascii="Arial" w:eastAsia="Times New Roman" w:hAnsi="Arial" w:cs="Arial"/>
          <w:b/>
          <w:sz w:val="24"/>
          <w:szCs w:val="24"/>
          <w:lang w:val="ru-RU" w:eastAsia="ru-RU"/>
        </w:rPr>
        <w:t>7. Ликвидация академической задолженности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7.1. 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7.2. 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установленные  школой</w:t>
      </w:r>
      <w:proofErr w:type="gramEnd"/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сроки.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7.3. Для проведения промежуточной аттестации во второй раз приказом директора школы создается комиссия, которая формируется по предметному принципу из не менее трех педагогических работников с учетом их занятости. Персональный состав комиссии утверждается приказом.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7.7. Положительные результаты ликвидации академической задолженности обучающихся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753B4" w:rsidRPr="00DB3CE3" w:rsidRDefault="00CA3B88" w:rsidP="00AF06AD">
      <w:pPr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Приложение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br/>
        <w:t>к Положению о формах, периодичности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br/>
        <w:t>и порядке текущего контроля успеваемости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br/>
        <w:t>и промежуточной аттестации обучающихся 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br/>
        <w:t>по основным общеобразовательным программам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br/>
        <w:t>МБОУ Школа № 3</w:t>
      </w:r>
    </w:p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753B4" w:rsidRPr="00DB3CE3" w:rsidRDefault="00CA3B88" w:rsidP="00AF06AD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Форма справки</w:t>
      </w: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br/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4"/>
        <w:gridCol w:w="2692"/>
        <w:gridCol w:w="1801"/>
      </w:tblGrid>
      <w:tr w:rsidR="00D753B4" w:rsidRPr="004A0BA1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Литвинчук</w:t>
            </w:r>
            <w:proofErr w:type="spellEnd"/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Лариса Витальевна, 05.01.2012 г.р.</w:t>
            </w:r>
          </w:p>
        </w:tc>
      </w:tr>
      <w:tr w:rsidR="00D753B4" w:rsidRPr="00DB3C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период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19.01.2023 по 09.02.2023 прошел(а) промежуточную</w:t>
            </w:r>
          </w:p>
        </w:tc>
      </w:tr>
      <w:tr w:rsidR="00D753B4" w:rsidRPr="004A0BA1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аттестацию за 2 триместр 5 класса по основной образовательной программе основного общего образования МБОУ Школа № 3</w:t>
            </w:r>
          </w:p>
        </w:tc>
      </w:tr>
    </w:tbl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3589"/>
        <w:gridCol w:w="4017"/>
        <w:gridCol w:w="1094"/>
      </w:tblGrid>
      <w:tr w:rsidR="00D753B4" w:rsidRPr="00DB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</w:t>
            </w: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753B4" w:rsidRPr="00DB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5</w:t>
            </w:r>
          </w:p>
        </w:tc>
      </w:tr>
      <w:tr w:rsidR="00D753B4" w:rsidRPr="00DB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 Контрольная работа: </w:t>
            </w:r>
            <w:proofErr w:type="spellStart"/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аудирование</w:t>
            </w:r>
            <w:proofErr w:type="spellEnd"/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5</w:t>
            </w:r>
          </w:p>
        </w:tc>
      </w:tr>
      <w:tr w:rsidR="00D753B4" w:rsidRPr="00DB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5</w:t>
            </w:r>
          </w:p>
        </w:tc>
      </w:tr>
      <w:tr w:rsidR="00D753B4" w:rsidRPr="00DB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D753B4" w:rsidP="00DB3CE3">
            <w:pPr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D753B4" w:rsidP="00DB3CE3">
            <w:pPr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D753B4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B3CE3">
        <w:rPr>
          <w:rFonts w:ascii="Arial" w:eastAsia="Times New Roman" w:hAnsi="Arial" w:cs="Arial"/>
          <w:sz w:val="24"/>
          <w:szCs w:val="24"/>
          <w:lang w:val="ru-RU" w:eastAsia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1"/>
      </w:tblGrid>
      <w:tr w:rsidR="00D753B4" w:rsidRPr="00DB3CE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отсутствует</w:t>
            </w:r>
          </w:p>
        </w:tc>
      </w:tr>
    </w:tbl>
    <w:p w:rsidR="00D753B4" w:rsidRPr="00DB3CE3" w:rsidRDefault="00D753B4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  <w:gridCol w:w="184"/>
        <w:gridCol w:w="1105"/>
        <w:gridCol w:w="276"/>
        <w:gridCol w:w="3870"/>
      </w:tblGrid>
      <w:tr w:rsidR="00D753B4" w:rsidRPr="00DB3CE3">
        <w:tc>
          <w:tcPr>
            <w:tcW w:w="3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Директор МБОУ Школа № 3</w:t>
            </w: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D753B4" w:rsidP="00DB3CE3">
            <w:pPr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Петров</w:t>
            </w: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D753B4" w:rsidP="00DB3CE3">
            <w:pPr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3B4" w:rsidRPr="00DB3CE3" w:rsidRDefault="00CA3B88" w:rsidP="00DB3C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B3CE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А.В. Петров</w:t>
            </w:r>
          </w:p>
        </w:tc>
      </w:tr>
    </w:tbl>
    <w:p w:rsidR="00CA3B88" w:rsidRPr="00DB3CE3" w:rsidRDefault="00CA3B88" w:rsidP="00DB3CE3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sectPr w:rsidR="00CA3B88" w:rsidRPr="00DB3CE3" w:rsidSect="005716E6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C7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04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E0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76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93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911E9"/>
    <w:rsid w:val="002D33B1"/>
    <w:rsid w:val="002D3591"/>
    <w:rsid w:val="003514A0"/>
    <w:rsid w:val="00365E36"/>
    <w:rsid w:val="004A0BA1"/>
    <w:rsid w:val="004F7E17"/>
    <w:rsid w:val="005716E6"/>
    <w:rsid w:val="005A05CE"/>
    <w:rsid w:val="00653AF6"/>
    <w:rsid w:val="006C3509"/>
    <w:rsid w:val="007372FF"/>
    <w:rsid w:val="00935B88"/>
    <w:rsid w:val="00AF06AD"/>
    <w:rsid w:val="00B73A5A"/>
    <w:rsid w:val="00CA3B88"/>
    <w:rsid w:val="00D753B4"/>
    <w:rsid w:val="00DB3CE3"/>
    <w:rsid w:val="00E438A1"/>
    <w:rsid w:val="00F00D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2942"/>
  <w15:docId w15:val="{35F68B04-D34E-4AB0-8257-28F02386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B3C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QIA+MpD29H93jJraIlleoleemFj8zjNxijVbAQ69o5k=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2li2lRpqi+6BDnvDGHsNEmAgSLPxoSkwkuIvLk9fwJ8=</DigestValue>
    </Reference>
  </SignedInfo>
  <SignatureValue>7TOnkkZmgn9JPmoJMF6wkb/VDlaj/Hvnpskq6Krh3W5ldVdOM/Gg0L7eOo66n+qk
jrn6p4wFrBVWVPxeYKBN1A==</SignatureValue>
  <KeyInfo>
    <X509Data>
      <X509Certificate>MIIJhTCCCTKgAwIBAgIQdLvEJwyY/h4wI0d+w5UVLzAKBggqhQMHAQEDAjCCAVcx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0YHQuNC4MB4XDTI0MDMyOTAyMDY1MVoXDTI1MDYyMjAyMDY1MVowggJ/MQswCQYD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0L7RgiAyOS4wOC4yMDIyDE7Ql9Cw0LrQu9GO0YfQtdC90LjQtSDQvdCwINGB0YDQ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8KniiQAAAAAHnjAKBggqhQMHAQEDAgNBAEnv9/1mp4MxnB7qVOk8jfs8PlcxhO6r
xTHz3xDTH6kryAihd4QlRMwGo7djGFDV+2JNLlb5dZPO0566JswpSJA=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ft1T6G87ezOOI3CcPzzt9LNtIOY=</DigestValue>
      </Reference>
      <Reference URI="/word/fontTable.xml?ContentType=application/vnd.openxmlformats-officedocument.wordprocessingml.fontTable+xml">
        <DigestMethod Algorithm="http://www.w3.org/2000/09/xmldsig#sha1"/>
        <DigestValue>rNmOhf+M4rRTnfi/WM125QHs1qA=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+4r6RoI63XWpw4QitaHBputeE6o=</DigestValue>
      </Reference>
      <Reference URI="/word/settings.xml?ContentType=application/vnd.openxmlformats-officedocument.wordprocessingml.settings+xml">
        <DigestMethod Algorithm="http://www.w3.org/2000/09/xmldsig#sha1"/>
        <DigestValue>HXzFRqkhmZrHCne8HRYO1SWh77Q=</DigestValue>
      </Reference>
      <Reference URI="/word/styles.xml?ContentType=application/vnd.openxmlformats-officedocument.wordprocessingml.styles+xml">
        <DigestMethod Algorithm="http://www.w3.org/2000/09/xmldsig#sha1"/>
        <DigestValue>orqnk9OLqgYwDecWnPIQeazaZvk=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2025-04-09T08:28:06Z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2025-04-09T08:28:06Z</xd:SigningTime>
          <xd:SigningCertificate>
            <xd:Cert>
              <xd:CertDigest>
                <DigestMethod Algorithm="http://www.w3.org/2000/09/xmldsig#sha1"/>
                <DigestValue>kBTlhxgb0khNYlWJORLtiPYSDME=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155165385469675684687484311923751982383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dcterms:created xsi:type="dcterms:W3CDTF">2025-03-16T17:02:00Z</dcterms:created>
  <dcterms:modified xsi:type="dcterms:W3CDTF">2025-04-09T08:00:00Z</dcterms:modified>
</cp:coreProperties>
</file>